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bookmarkStart w:id="0" w:name="_GoBack"/>
      <w:bookmarkEnd w:id="0"/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>Национальной киностудией «</w:t>
      </w:r>
      <w:proofErr w:type="spellStart"/>
      <w:r w:rsidRPr="00CD5F83">
        <w:rPr>
          <w:rFonts w:ascii="Times New Roman" w:hAnsi="Times New Roman" w:cs="Times New Roman"/>
          <w:sz w:val="30"/>
          <w:szCs w:val="30"/>
        </w:rPr>
        <w:t>Беларусьфильм</w:t>
      </w:r>
      <w:proofErr w:type="spellEnd"/>
      <w:r w:rsidRPr="00CD5F83">
        <w:rPr>
          <w:rFonts w:ascii="Times New Roman" w:hAnsi="Times New Roman" w:cs="Times New Roman"/>
          <w:sz w:val="30"/>
          <w:szCs w:val="30"/>
        </w:rPr>
        <w:t xml:space="preserve">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 xml:space="preserve">. В настоящее время ведется работа над созданием фильма «Батька </w:t>
      </w:r>
      <w:proofErr w:type="spellStart"/>
      <w:r w:rsidRPr="00CD5F83">
        <w:rPr>
          <w:rFonts w:ascii="Times New Roman" w:hAnsi="Times New Roman" w:cs="Times New Roman"/>
          <w:sz w:val="30"/>
          <w:szCs w:val="30"/>
        </w:rPr>
        <w:t>Минай</w:t>
      </w:r>
      <w:proofErr w:type="spellEnd"/>
      <w:r w:rsidRPr="00CD5F83">
        <w:rPr>
          <w:rFonts w:ascii="Times New Roman" w:hAnsi="Times New Roman" w:cs="Times New Roman"/>
          <w:sz w:val="30"/>
          <w:szCs w:val="30"/>
        </w:rPr>
        <w:t>. Партизанская легенда».</w:t>
      </w:r>
    </w:p>
    <w:p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B3" w:rsidRDefault="00A96BB3" w:rsidP="0070212E">
      <w:pPr>
        <w:spacing w:after="0" w:line="240" w:lineRule="auto"/>
      </w:pPr>
      <w:r>
        <w:separator/>
      </w:r>
    </w:p>
  </w:endnote>
  <w:endnote w:type="continuationSeparator" w:id="0">
    <w:p w:rsidR="00A96BB3" w:rsidRDefault="00A96BB3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B3" w:rsidRDefault="00A96BB3" w:rsidP="0070212E">
      <w:pPr>
        <w:spacing w:after="0" w:line="240" w:lineRule="auto"/>
      </w:pPr>
      <w:r>
        <w:separator/>
      </w:r>
    </w:p>
  </w:footnote>
  <w:footnote w:type="continuationSeparator" w:id="0">
    <w:p w:rsidR="00A96BB3" w:rsidRDefault="00A96BB3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858867"/>
      <w:docPartObj>
        <w:docPartGallery w:val="Page Numbers (Top of Page)"/>
        <w:docPartUnique/>
      </w:docPartObj>
    </w:sdtPr>
    <w:sdtEndPr/>
    <w:sdtContent>
      <w:p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C963BD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B26E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8</cp:revision>
  <cp:lastPrinted>2026-05-25T08:39:00Z</cp:lastPrinted>
  <dcterms:created xsi:type="dcterms:W3CDTF">2026-05-25T06:44:00Z</dcterms:created>
  <dcterms:modified xsi:type="dcterms:W3CDTF">2026-06-11T05:55:00Z</dcterms:modified>
</cp:coreProperties>
</file>